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осударственный заказ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мероприятия по профессиональному развитию</w:t>
      </w:r>
      <w:r>
        <w:rPr>
          <w:sz w:val="28"/>
          <w:szCs w:val="28"/>
        </w:rPr>
        <w:t xml:space="preserve"> государственных гражданских служащих </w:t>
      </w:r>
      <w:r>
        <w:rPr>
          <w:sz w:val="28"/>
          <w:szCs w:val="28"/>
        </w:rPr>
        <w:t xml:space="preserve">Еврейской автономной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утвержденный постановлением губернатора Еврейской автономной области от 03.03.2023 № 53</w:t>
      </w: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7"/>
        <w:ind w:firstLine="709"/>
        <w:jc w:val="both"/>
        <w:tabs>
          <w:tab w:val="left" w:pos="6804" w:leader="none"/>
        </w:tabs>
      </w:pPr>
      <w:r>
        <w:rPr>
          <w:szCs w:val="28"/>
        </w:rPr>
        <w:t xml:space="preserve">1.</w:t>
      </w:r>
      <w:r>
        <w:t xml:space="preserve"> </w:t>
      </w:r>
      <w:r>
        <w:t xml:space="preserve">Внести в</w:t>
      </w:r>
      <w:r>
        <w:t xml:space="preserve"> г</w:t>
      </w:r>
      <w:r>
        <w:t xml:space="preserve">осударственный заказ на </w:t>
      </w:r>
      <w:r>
        <w:t xml:space="preserve">мероприятия по профессиональному развитию </w:t>
      </w:r>
      <w:r>
        <w:t xml:space="preserve">государственных гражданских служащих Евре</w:t>
      </w:r>
      <w:r>
        <w:t xml:space="preserve">йской автономной области на 20</w:t>
      </w:r>
      <w:r>
        <w:t xml:space="preserve">23</w:t>
      </w:r>
      <w:r>
        <w:t xml:space="preserve"> год, утвержденный постановлением губернатора Еврейской автономной области от 03.03.</w:t>
      </w:r>
      <w:r>
        <w:t xml:space="preserve">2023 № 53 «Об утверждении государственного заказа на мероприятия по профессиональному развитию государственных гражданских служащих Еврейской автономной области на 2023 год», изменение, изложив его в редакции согласно приложению к настоящему постановлению.</w:t>
      </w:r>
      <w:r/>
    </w:p>
    <w:p>
      <w:pPr>
        <w:pStyle w:val="637"/>
        <w:ind w:firstLine="709"/>
        <w:jc w:val="both"/>
        <w:tabs>
          <w:tab w:val="left" w:pos="6804" w:leader="none"/>
        </w:tabs>
      </w:pPr>
      <w:r>
        <w:t xml:space="preserve">2</w:t>
      </w:r>
      <w:r>
        <w:t xml:space="preserve">. </w:t>
      </w:r>
      <w:r>
        <w:t xml:space="preserve">Настоящее постановление в</w:t>
      </w:r>
      <w:r>
        <w:t xml:space="preserve">ступает в силу со дня его подписания.</w:t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3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убернатор</w:t>
      </w:r>
      <w:r>
        <w:rPr>
          <w:sz w:val="28"/>
        </w:rPr>
        <w:t xml:space="preserve">а</w:t>
      </w:r>
      <w:r>
        <w:rPr>
          <w:sz w:val="28"/>
        </w:rPr>
        <w:t xml:space="preserve"> области </w:t>
        <w:tab/>
        <w:tab/>
        <w:tab/>
        <w:tab/>
        <w:tab/>
        <w:tab/>
        <w:tab/>
      </w:r>
      <w:r>
        <w:rPr>
          <w:sz w:val="28"/>
        </w:rPr>
        <w:t xml:space="preserve">   Р.Э. Гольдштейн</w:t>
      </w:r>
      <w:r>
        <w:rPr>
          <w:sz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spacing w:line="360" w:lineRule="auto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632"/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/>
    </w:p>
    <w:p>
      <w:pPr>
        <w:pStyle w:val="632"/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/>
    </w:p>
    <w:p>
      <w:pPr>
        <w:pStyle w:val="632"/>
        <w:ind w:left="9656"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</w:t>
      </w:r>
      <w:r/>
    </w:p>
    <w:p>
      <w:pPr>
        <w:pStyle w:val="632"/>
      </w:pP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от ________________№ ____</w:t>
      </w:r>
      <w:r>
        <w:rPr>
          <w:sz w:val="28"/>
          <w:szCs w:val="28"/>
        </w:rPr>
        <w:t xml:space="preserve">___</w:t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заказ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мероприятия по профессиональному развитию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гражданских служащих Еврейской автономной области </w:t>
      </w:r>
      <w:r>
        <w:rPr>
          <w:sz w:val="28"/>
          <w:szCs w:val="28"/>
        </w:rPr>
        <w:t xml:space="preserve">на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281"/>
        <w:gridCol w:w="3222"/>
        <w:gridCol w:w="2835"/>
        <w:gridCol w:w="1275"/>
        <w:gridCol w:w="2975"/>
        <w:gridCol w:w="3404"/>
      </w:tblGrid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t xml:space="preserve">Количество государственных гражданских служащих</w:t>
            </w:r>
            <w:r>
              <w:t xml:space="preserve"> Еврейской автономной</w:t>
            </w:r>
            <w:r>
              <w:t xml:space="preserve"> области, направляемых на обучение (человек)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t xml:space="preserve">Объем </w:t>
            </w:r>
            <w:r>
              <w:t xml:space="preserve">бюджетных ассигнований</w:t>
            </w:r>
            <w:r>
              <w:t xml:space="preserve">, предусмотренных в областном бюджете</w:t>
            </w:r>
            <w:r>
              <w:t xml:space="preserve"> </w:t>
            </w:r>
            <w:r>
              <w:t xml:space="preserve">(тыс. рублей)</w:t>
            </w:r>
            <w:r/>
          </w:p>
        </w:tc>
      </w:tr>
      <w:tr>
        <w:trPr>
          <w:cantSplit/>
          <w:trHeight w:val="111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81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center"/>
            </w:pPr>
            <w:r>
              <w:t xml:space="preserve">В</w:t>
            </w:r>
            <w:r>
              <w:t xml:space="preserve">сего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7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/>
            <w:r/>
          </w:p>
          <w:p>
            <w:pPr>
              <w:pStyle w:val="632"/>
              <w:jc w:val="center"/>
            </w:pPr>
            <w:r>
              <w:t xml:space="preserve">в том числе </w:t>
            </w:r>
            <w:r>
              <w:t xml:space="preserve">по образовательным программам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center"/>
            </w:pPr>
            <w:r>
              <w:t xml:space="preserve">В</w:t>
            </w:r>
            <w:r>
              <w:t xml:space="preserve">сего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/>
            <w:r/>
          </w:p>
          <w:p>
            <w:pPr>
              <w:pStyle w:val="632"/>
              <w:jc w:val="center"/>
            </w:pPr>
            <w:r>
              <w:t xml:space="preserve">в том числе на</w:t>
            </w:r>
            <w:r/>
          </w:p>
        </w:tc>
      </w:tr>
      <w:tr>
        <w:trPr>
          <w:cantSplit/>
          <w:trHeight w:val="40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281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3222" w:type="dxa"/>
            <w:vAlign w:val="top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>
              <w:t xml:space="preserve">профессиональной переподготовки</w:t>
            </w:r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>
              <w:t xml:space="preserve">повышения квалификации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>
              <w:t xml:space="preserve">профессиональную переподготовку</w:t>
            </w:r>
            <w:r/>
          </w:p>
        </w:tc>
        <w:tc>
          <w:tcPr>
            <w:tcW w:w="3404" w:type="dxa"/>
            <w:vAlign w:val="top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>
              <w:t xml:space="preserve">повышение </w:t>
            </w:r>
            <w:r>
              <w:t xml:space="preserve">квалификации </w:t>
            </w:r>
            <w:r/>
          </w:p>
        </w:tc>
      </w:tr>
      <w:tr>
        <w:trPr>
          <w:trHeight w:val="402"/>
        </w:trPr>
        <w:tc>
          <w:tcPr>
            <w:tcW w:w="1281" w:type="dxa"/>
            <w:vAlign w:val="top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>
              <w:t xml:space="preserve">48</w:t>
            </w:r>
            <w:r/>
          </w:p>
        </w:tc>
        <w:tc>
          <w:tcPr>
            <w:tcW w:w="3222" w:type="dxa"/>
            <w:vAlign w:val="top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>
              <w:t xml:space="preserve">0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>
              <w:t xml:space="preserve">48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t xml:space="preserve">16,3</w:t>
            </w:r>
            <w:r/>
          </w:p>
        </w:tc>
        <w:tc>
          <w:tcPr>
            <w:tcW w:w="2975" w:type="dxa"/>
            <w:vAlign w:val="top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>
              <w:t xml:space="preserve">0</w:t>
            </w:r>
            <w:r/>
          </w:p>
        </w:tc>
        <w:tc>
          <w:tcPr>
            <w:tcW w:w="3404" w:type="dxa"/>
            <w:vAlign w:val="top"/>
            <w:textDirection w:val="lrTb"/>
            <w:noWrap w:val="false"/>
          </w:tcPr>
          <w:p>
            <w:pPr>
              <w:pStyle w:val="632"/>
              <w:ind w:left="108"/>
              <w:jc w:val="center"/>
            </w:pPr>
            <w:r>
              <w:t xml:space="preserve">16,3</w:t>
            </w:r>
            <w:r/>
          </w:p>
        </w:tc>
      </w:tr>
    </w:tbl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34" w:right="851" w:bottom="284" w:left="1134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rPr>
        <w:rStyle w:val="641"/>
      </w:rPr>
      <w:framePr w:wrap="around" w:vAnchor="text" w:hAnchor="margin" w:xAlign="center" w:y="1"/>
    </w:pPr>
    <w:r>
      <w:rPr>
        <w:rStyle w:val="641"/>
      </w:rPr>
      <w:fldChar w:fldCharType="begin"/>
    </w:r>
    <w:r>
      <w:rPr>
        <w:rStyle w:val="641"/>
      </w:rPr>
      <w:instrText xml:space="preserve">PAGE  </w:instrText>
    </w:r>
    <w:r>
      <w:rPr>
        <w:rStyle w:val="641"/>
      </w:rPr>
      <w:fldChar w:fldCharType="end"/>
    </w:r>
    <w:r>
      <w:rPr>
        <w:rStyle w:val="641"/>
      </w:rPr>
    </w:r>
    <w:r/>
  </w:p>
  <w:p>
    <w:pPr>
      <w:pStyle w:val="6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63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2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2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2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2"/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2"/>
    <w:next w:val="63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2"/>
    <w:next w:val="63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2"/>
    <w:next w:val="63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2"/>
    <w:next w:val="63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2"/>
    <w:next w:val="63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2"/>
    <w:next w:val="63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2"/>
    <w:next w:val="63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2"/>
    <w:next w:val="63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2"/>
    <w:next w:val="63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2"/>
    <w:next w:val="63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32"/>
    <w:next w:val="63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32"/>
    <w:next w:val="63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2"/>
    <w:next w:val="63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3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3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2"/>
    <w:basedOn w:val="632"/>
    <w:next w:val="632"/>
    <w:link w:val="632"/>
    <w:qFormat/>
    <w:pPr>
      <w:keepNext/>
      <w:outlineLvl w:val="1"/>
    </w:pPr>
    <w:rPr>
      <w:sz w:val="28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Название"/>
    <w:basedOn w:val="632"/>
    <w:next w:val="637"/>
    <w:link w:val="632"/>
    <w:qFormat/>
    <w:pPr>
      <w:jc w:val="center"/>
    </w:pPr>
    <w:rPr>
      <w:sz w:val="28"/>
      <w:szCs w:val="20"/>
    </w:rPr>
  </w:style>
  <w:style w:type="paragraph" w:styleId="638">
    <w:name w:val="Текст выноски"/>
    <w:basedOn w:val="632"/>
    <w:next w:val="638"/>
    <w:link w:val="632"/>
    <w:semiHidden/>
    <w:rPr>
      <w:rFonts w:ascii="Tahoma" w:hAnsi="Tahoma" w:cs="Tahoma"/>
      <w:sz w:val="16"/>
      <w:szCs w:val="16"/>
    </w:rPr>
  </w:style>
  <w:style w:type="table" w:styleId="639">
    <w:name w:val="Сетка таблицы"/>
    <w:basedOn w:val="635"/>
    <w:next w:val="639"/>
    <w:link w:val="632"/>
    <w:rPr>
      <w:lang w:bidi="ar-SA"/>
    </w:rPr>
    <w:tblPr/>
  </w:style>
  <w:style w:type="paragraph" w:styleId="640">
    <w:name w:val="Верхний колонтитул"/>
    <w:basedOn w:val="632"/>
    <w:next w:val="640"/>
    <w:link w:val="644"/>
    <w:uiPriority w:val="99"/>
    <w:pPr>
      <w:tabs>
        <w:tab w:val="center" w:pos="4677" w:leader="none"/>
        <w:tab w:val="right" w:pos="9355" w:leader="none"/>
      </w:tabs>
    </w:pPr>
  </w:style>
  <w:style w:type="character" w:styleId="641">
    <w:name w:val="Номер страницы"/>
    <w:basedOn w:val="634"/>
    <w:next w:val="641"/>
    <w:link w:val="632"/>
  </w:style>
  <w:style w:type="paragraph" w:styleId="642">
    <w:name w:val="Нижний колонтитул"/>
    <w:basedOn w:val="632"/>
    <w:next w:val="642"/>
    <w:link w:val="632"/>
    <w:pPr>
      <w:tabs>
        <w:tab w:val="center" w:pos="4677" w:leader="none"/>
        <w:tab w:val="right" w:pos="9355" w:leader="none"/>
      </w:tabs>
    </w:pPr>
  </w:style>
  <w:style w:type="paragraph" w:styleId="643">
    <w:name w:val="Без интервала"/>
    <w:next w:val="643"/>
    <w:link w:val="632"/>
    <w:uiPriority w:val="1"/>
    <w:qFormat/>
    <w:rPr>
      <w:sz w:val="24"/>
      <w:szCs w:val="24"/>
      <w:lang w:val="ru-RU" w:eastAsia="ru-RU" w:bidi="ar-SA"/>
    </w:rPr>
  </w:style>
  <w:style w:type="character" w:styleId="644">
    <w:name w:val="Верхний колонтитул Знак"/>
    <w:next w:val="644"/>
    <w:link w:val="640"/>
    <w:uiPriority w:val="99"/>
    <w:rPr>
      <w:sz w:val="24"/>
      <w:szCs w:val="24"/>
    </w:rPr>
  </w:style>
  <w:style w:type="character" w:styleId="1078" w:default="1">
    <w:name w:val="Default Paragraph Font"/>
    <w:uiPriority w:val="1"/>
    <w:semiHidden/>
    <w:unhideWhenUsed/>
  </w:style>
  <w:style w:type="numbering" w:styleId="1079" w:default="1">
    <w:name w:val="No List"/>
    <w:uiPriority w:val="99"/>
    <w:semiHidden/>
    <w:unhideWhenUsed/>
  </w:style>
  <w:style w:type="table" w:styleId="10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государственного заказа на профессиональную переподготовку, повышение квалификации и стажировку государственных гражданских служащих области</dc:title>
  <dc:creator>Кастырина</dc:creator>
  <cp:revision>15</cp:revision>
  <dcterms:created xsi:type="dcterms:W3CDTF">2019-07-26T06:59:00Z</dcterms:created>
  <dcterms:modified xsi:type="dcterms:W3CDTF">2023-11-20T07:00:08Z</dcterms:modified>
  <cp:version>917504</cp:version>
</cp:coreProperties>
</file>